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ascii="方正小标宋简体" w:hAnsi="方正小标宋简体" w:eastAsia="方正小标宋简体" w:cs="方正小标宋简体"/>
          <w:b/>
          <w:bCs/>
          <w:sz w:val="36"/>
          <w:szCs w:val="21"/>
          <w:u w:val="none"/>
          <w:lang w:val="en-US" w:eastAsia="zh-CN"/>
        </w:rPr>
      </w:pPr>
      <w:r>
        <w:rPr>
          <w:rFonts w:hint="eastAsia" w:ascii="方正小标宋简体" w:hAnsi="方正小标宋简体" w:eastAsia="方正小标宋简体" w:cs="方正小标宋简体"/>
          <w:b/>
          <w:bCs/>
          <w:sz w:val="36"/>
          <w:szCs w:val="21"/>
          <w:u w:val="none"/>
          <w:lang w:val="en-US" w:eastAsia="zh-CN"/>
        </w:rPr>
        <w:t>企业备案登记</w:t>
      </w:r>
    </w:p>
    <w:p>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firstLine="0" w:firstLineChars="0"/>
        <w:jc w:val="left"/>
        <w:textAlignment w:val="baseline"/>
        <w:rPr>
          <w:rFonts w:hint="eastAsia" w:ascii="方正仿宋_GB2312" w:hAnsi="方正仿宋_GB2312" w:eastAsia="方正仿宋_GB2312" w:cs="方正仿宋_GB2312"/>
          <w:b w:val="0"/>
          <w:bCs w:val="0"/>
          <w:sz w:val="21"/>
          <w:szCs w:val="13"/>
          <w:u w:val="none"/>
          <w:lang w:val="en-US" w:eastAsia="zh-CN"/>
        </w:rPr>
      </w:pPr>
      <w:r>
        <w:rPr>
          <w:rFonts w:hint="eastAsia" w:ascii="方正仿宋_GB2312" w:hAnsi="方正仿宋_GB2312" w:eastAsia="方正仿宋_GB2312" w:cs="方正仿宋_GB2312"/>
          <w:b w:val="0"/>
          <w:bCs w:val="0"/>
          <w:sz w:val="21"/>
          <w:szCs w:val="13"/>
          <w:u w:val="none"/>
          <w:lang w:val="en-US" w:eastAsia="zh-CN"/>
        </w:rPr>
        <w:t>一、受理条件：《中华人民共和国市场主体登记管理条例》中华人民共和国国务院令第746号第9、7、39条。【法规】《中华人民共和国市场主体登记管理条例》（中华人民共和国国务院令第746号） 第九条　市场主体的下列事项应当向登记机关办理备案： （一）章程或者合伙协议； （二）经营期限或者合伙期限； （三）有限责任公司股东或者股份有限公司发起人认缴的出资数额，合伙企业合伙人认缴或者实际缴付的出资数额、缴付期限和出资方式； （四）公司董事、监事、高级管理人员； （五）农民专业合作社（联合社）成员； （六）参加经营的个体工商户家庭成员姓名； （七）市场主体登记联络员、外商投资企业法律文件送达接受人； （八）公司、合伙企业等市场主体受益所有人相关信息； （九）法律、行政法规规定的其他事项。 【规章】《中华人民共和国市场主体登记管理条例实施细则》（国家市场监督管理总局令第52号） 第七条 市场主体应当按照类型依法备案下列事项： （一）公司：章程、经营期限、有限责任公司股东或者股份有限公司发起人认缴的出资数额、董事、监事、高级管理人员、登记联络员、外商投资公司法律文件送达接受人。 （二）非公司企业法人：章程、经营期限、登记联络员。 （三）个人独资企业：登记联络员。 （四）合伙企业：合伙协议、合伙期限、合伙人认缴或者实际缴付的出资数额、缴付期限和出资方式、登记联络员、外商投资合伙企业法律文件送达接受人。 （五）农民专业合作社（联合社）：章程、成员、登记联络员。 （六）分支机构：登记联络员。 （七）个体工商户：家庭参加经营的家庭成员姓名、登记联络员。 （八）公司、合伙企业等市场主体受益所有人相关信息。 （九）法律、行政法规规定的其他事项。 上述备案事项由登记机关在设立登记时一并进行信息采集。 受益所有人信息管理制度由中国人民银行会同国家市场监督管理总局另行制定。 第三十九条 市场主体变更备案事项的，应当按照《条例》第二十九条规定办理备案。 农民专业合作社因成员发生变更，农民成员低于法定比例的，应当自事由发生之日起6个月内采取吸收新的农民成员入社等方式使农民成员达到法定比例。农民专业合作社联合社成员退社，成员数低于联合社设立法定条件的，应当自事由发生之日起6个月内采取吸收新的成员入社等方式使农民专业合作社成员达到法定条件。”</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1.《公司登记（备案）申请书》。</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2.法律、行政法规和国务院决定规定备案事项必须报经批准的，提交有关的批准文件或者许可证件复印件。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3.备案事项证明文件。</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法定时限：20</w:t>
      </w:r>
      <w:r>
        <w:rPr>
          <w:rFonts w:hint="eastAsia" w:ascii="方正仿宋_GB2312" w:hAnsi="方正仿宋_GB2312" w:eastAsia="方正仿宋_GB2312" w:cs="方正仿宋_GB2312"/>
          <w:b w:val="0"/>
          <w:bCs w:val="0"/>
          <w:snapToGrid w:val="0"/>
          <w:color w:val="000000"/>
          <w:sz w:val="24"/>
          <w:szCs w:val="16"/>
          <w:u w:val="none"/>
          <w:lang w:val="en-US" w:eastAsia="zh-CN"/>
        </w:rPr>
        <w:t>（工作日）</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numPr>
          <w:ilvl w:val="0"/>
          <w:numId w:val="1"/>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收费依据及标准：不收费</w:t>
      </w:r>
    </w:p>
    <w:p>
      <w:pPr>
        <w:pageBreakBefore w:val="0"/>
        <w:widowControl/>
        <w:numPr>
          <w:ilvl w:val="0"/>
          <w:numId w:val="0"/>
        </w:numPr>
        <w:kinsoku w:val="0"/>
        <w:wordWrap/>
        <w:overflowPunct/>
        <w:topLinePunct w:val="0"/>
        <w:autoSpaceDE w:val="0"/>
        <w:autoSpaceDN w:val="0"/>
        <w:bidi w:val="0"/>
        <w:adjustRightInd w:val="0"/>
        <w:snapToGrid w:val="0"/>
        <w:spacing w:line="400" w:lineRule="exact"/>
        <w:ind w:left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16:00:00至20:00:00 </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bookmarkStart w:id="0" w:name="_GoBack"/>
      <w:bookmarkEnd w:id="0"/>
      <w:r>
        <w:rPr>
          <w:rFonts w:hint="eastAsia" w:ascii="方正仿宋_GB2312" w:hAnsi="方正仿宋_GB2312" w:eastAsia="方正仿宋_GB2312" w:cs="方正仿宋_GB2312"/>
          <w:b w:val="0"/>
          <w:bCs w:val="0"/>
          <w:sz w:val="24"/>
          <w:szCs w:val="16"/>
          <w:u w:val="none"/>
          <w:lang w:val="en-US" w:eastAsia="zh-CN"/>
        </w:rPr>
        <w:t xml:space="preserve"> 16:00:00至20:00:00</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b/>
          <w:bCs/>
          <w:sz w:val="28"/>
          <w:szCs w:val="18"/>
          <w:lang w:val="en-US" w:eastAsia="zh-CN"/>
        </w:rPr>
        <w:t>七、办理机构及地点：</w:t>
      </w: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世纪大道南路72号政务服务中心 2楼 B28</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lang w:val="en-US" w:eastAsia="zh-CN"/>
        </w:rPr>
      </w:pPr>
      <w:r>
        <w:rPr>
          <w:rFonts w:hint="eastAsia"/>
          <w:b/>
          <w:bCs/>
          <w:sz w:val="28"/>
          <w:szCs w:val="18"/>
          <w:lang w:val="en-US" w:eastAsia="zh-CN"/>
        </w:rPr>
        <w:t>九、监督投诉渠道：</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w:t>
      </w:r>
      <w:r>
        <w:rPr>
          <w:rFonts w:hint="default" w:ascii="方正仿宋_GB2312" w:hAnsi="方正仿宋_GB2312" w:eastAsia="方正仿宋_GB2312" w:cs="方正仿宋_GB2312"/>
          <w:b w:val="0"/>
          <w:bCs w:val="0"/>
          <w:sz w:val="24"/>
          <w:szCs w:val="16"/>
          <w:u w:val="none"/>
          <w:lang w:val="en-US" w:eastAsia="zh-CN"/>
        </w:rPr>
        <w:t>；</w:t>
      </w:r>
      <w:r>
        <w:rPr>
          <w:rFonts w:hint="eastAsia" w:ascii="方正仿宋_GB2312" w:hAnsi="方正仿宋_GB2312" w:eastAsia="方正仿宋_GB2312" w:cs="方正仿宋_GB2312"/>
          <w:b w:val="0"/>
          <w:bCs w:val="0"/>
          <w:sz w:val="24"/>
          <w:szCs w:val="16"/>
          <w:u w:val="none"/>
          <w:lang w:val="en-US" w:eastAsia="zh-CN"/>
        </w:rPr>
        <w:t>监督地址：沙湾市人民路22号市场监督管理局二楼书记办公室、监督网址：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pageBreakBefore w:val="0"/>
        <w:widowControl/>
        <w:numPr>
          <w:ilvl w:val="0"/>
          <w:numId w:val="2"/>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Times New Roman" w:hAnsi="Times New Roman"/>
          <w:b/>
          <w:bCs/>
          <w:sz w:val="28"/>
          <w:szCs w:val="18"/>
          <w:lang w:val="en-US" w:eastAsia="zh-CN"/>
        </w:rPr>
        <w:t>办理流程</w:t>
      </w:r>
    </w:p>
    <w:p>
      <w:pPr>
        <w:pStyle w:val="2"/>
        <w:numPr>
          <w:ilvl w:val="0"/>
          <w:numId w:val="0"/>
        </w:numPr>
        <w:spacing w:line="240" w:lineRule="auto"/>
        <w:rPr>
          <w:rFonts w:hint="eastAsia" w:eastAsia="楷体_GB2312"/>
          <w:lang w:eastAsia="zh-CN"/>
        </w:rPr>
      </w:pPr>
      <w:r>
        <w:rPr>
          <w:rFonts w:hint="default"/>
          <w:lang w:val="en-US" w:eastAsia="zh-CN"/>
        </w:rPr>
        <w:drawing>
          <wp:inline distT="0" distB="0" distL="114300" distR="114300">
            <wp:extent cx="3315335" cy="3764280"/>
            <wp:effectExtent l="0" t="0" r="18415" b="7620"/>
            <wp:docPr id="2" name="图片 2" descr="设立窗口流程图 复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设立窗口流程图 复制"/>
                    <pic:cNvPicPr>
                      <a:picLocks noChangeAspect="1"/>
                    </pic:cNvPicPr>
                  </pic:nvPicPr>
                  <pic:blipFill>
                    <a:blip r:embed="rId6"/>
                    <a:stretch>
                      <a:fillRect/>
                    </a:stretch>
                  </pic:blipFill>
                  <pic:spPr>
                    <a:xfrm>
                      <a:off x="0" y="0"/>
                      <a:ext cx="3315335" cy="3764280"/>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92ECA703-EAA3-4736-B388-80595A0166B5}"/>
  </w:font>
  <w:font w:name="楷体_GB2312">
    <w:panose1 w:val="02010609030101010101"/>
    <w:charset w:val="86"/>
    <w:family w:val="auto"/>
    <w:pitch w:val="default"/>
    <w:sig w:usb0="00000001" w:usb1="080E0000" w:usb2="00000000" w:usb3="00000000" w:csb0="00040000" w:csb1="00000000"/>
    <w:embedRegular r:id="rId2" w:fontKey="{4E64F816-C8F8-4CDD-89F6-F9A06DD7F3DA}"/>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EA8A4652-8069-4213-B4CF-F3E71BCBFD56}"/>
  </w:font>
  <w:font w:name="方正仿宋_GB2312">
    <w:altName w:val="仿宋"/>
    <w:panose1 w:val="02000000000000000000"/>
    <w:charset w:val="86"/>
    <w:family w:val="auto"/>
    <w:pitch w:val="default"/>
    <w:sig w:usb0="00000000" w:usb1="00000000" w:usb2="00000012" w:usb3="00000000" w:csb0="00040001" w:csb1="00000000"/>
    <w:embedRegular r:id="rId4" w:fontKey="{728DCFDF-9671-4EE0-AD14-A81627B2B10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76D167"/>
    <w:multiLevelType w:val="singleLevel"/>
    <w:tmpl w:val="E176D167"/>
    <w:lvl w:ilvl="0" w:tentative="0">
      <w:start w:val="5"/>
      <w:numFmt w:val="chineseCounting"/>
      <w:suff w:val="nothing"/>
      <w:lvlText w:val="%1、"/>
      <w:lvlJc w:val="left"/>
      <w:rPr>
        <w:rFonts w:hint="eastAsia"/>
      </w:rPr>
    </w:lvl>
  </w:abstractNum>
  <w:abstractNum w:abstractNumId="1">
    <w:nsid w:val="62410CD9"/>
    <w:multiLevelType w:val="singleLevel"/>
    <w:tmpl w:val="62410CD9"/>
    <w:lvl w:ilvl="0" w:tentative="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6B76FF"/>
    <w:rsid w:val="01902A0A"/>
    <w:rsid w:val="03661B32"/>
    <w:rsid w:val="036A76D5"/>
    <w:rsid w:val="037B7501"/>
    <w:rsid w:val="042C1A95"/>
    <w:rsid w:val="04C0668E"/>
    <w:rsid w:val="04D504C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FC17644"/>
    <w:rsid w:val="0FF2793E"/>
    <w:rsid w:val="15716652"/>
    <w:rsid w:val="16391F72"/>
    <w:rsid w:val="18674730"/>
    <w:rsid w:val="193D3149"/>
    <w:rsid w:val="195B4077"/>
    <w:rsid w:val="1A377862"/>
    <w:rsid w:val="1A7002BF"/>
    <w:rsid w:val="1A955637"/>
    <w:rsid w:val="1B474B4B"/>
    <w:rsid w:val="1B743DF1"/>
    <w:rsid w:val="1CE036FF"/>
    <w:rsid w:val="1D4571D1"/>
    <w:rsid w:val="1F4B62CC"/>
    <w:rsid w:val="211362E9"/>
    <w:rsid w:val="21950B12"/>
    <w:rsid w:val="24726BAB"/>
    <w:rsid w:val="24CD03D6"/>
    <w:rsid w:val="29EC728B"/>
    <w:rsid w:val="2A5F6911"/>
    <w:rsid w:val="2B1225D2"/>
    <w:rsid w:val="2CFF45C1"/>
    <w:rsid w:val="2D6905D8"/>
    <w:rsid w:val="2DEA2363"/>
    <w:rsid w:val="2EAB1AC3"/>
    <w:rsid w:val="341666A9"/>
    <w:rsid w:val="3482262D"/>
    <w:rsid w:val="349D1FCD"/>
    <w:rsid w:val="36EA24BB"/>
    <w:rsid w:val="37A47147"/>
    <w:rsid w:val="39156E2F"/>
    <w:rsid w:val="39FC7BA1"/>
    <w:rsid w:val="3AC952D4"/>
    <w:rsid w:val="3AE97A51"/>
    <w:rsid w:val="3B731336"/>
    <w:rsid w:val="3C760D85"/>
    <w:rsid w:val="3DC35888"/>
    <w:rsid w:val="3DFB6996"/>
    <w:rsid w:val="41905F01"/>
    <w:rsid w:val="41BE0090"/>
    <w:rsid w:val="436A7FB0"/>
    <w:rsid w:val="43C7405A"/>
    <w:rsid w:val="450B1B19"/>
    <w:rsid w:val="47EA0F51"/>
    <w:rsid w:val="4950408C"/>
    <w:rsid w:val="4AA55912"/>
    <w:rsid w:val="4AA65867"/>
    <w:rsid w:val="4B632B7A"/>
    <w:rsid w:val="4FA61183"/>
    <w:rsid w:val="518A1671"/>
    <w:rsid w:val="532077A8"/>
    <w:rsid w:val="55284534"/>
    <w:rsid w:val="555508CB"/>
    <w:rsid w:val="575007FF"/>
    <w:rsid w:val="59FA061D"/>
    <w:rsid w:val="5CC85BBF"/>
    <w:rsid w:val="5DB02987"/>
    <w:rsid w:val="5EDB6B99"/>
    <w:rsid w:val="5F6048C3"/>
    <w:rsid w:val="61A25DDE"/>
    <w:rsid w:val="61E80990"/>
    <w:rsid w:val="61F6229C"/>
    <w:rsid w:val="62BA0D8D"/>
    <w:rsid w:val="63A22B78"/>
    <w:rsid w:val="650E6875"/>
    <w:rsid w:val="65CE67F5"/>
    <w:rsid w:val="66340AF4"/>
    <w:rsid w:val="666D6223"/>
    <w:rsid w:val="67722C8C"/>
    <w:rsid w:val="68571F68"/>
    <w:rsid w:val="69C602B6"/>
    <w:rsid w:val="6A7F14F1"/>
    <w:rsid w:val="6BD07BAD"/>
    <w:rsid w:val="6DB92EB5"/>
    <w:rsid w:val="6F1C3BBB"/>
    <w:rsid w:val="6F262639"/>
    <w:rsid w:val="70BE1C09"/>
    <w:rsid w:val="732173B9"/>
    <w:rsid w:val="74363621"/>
    <w:rsid w:val="751B6142"/>
    <w:rsid w:val="76675C17"/>
    <w:rsid w:val="76A44D3C"/>
    <w:rsid w:val="76B10F9B"/>
    <w:rsid w:val="78F17E96"/>
    <w:rsid w:val="79832DAC"/>
    <w:rsid w:val="7AB62FDB"/>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 w:type="paragraph" w:customStyle="1" w:styleId="16">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